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
          <w:sz w:val="28"/>
          <w:szCs w:val="28"/>
          <w:lang w:val="en-US" w:eastAsia="zh-CN"/>
        </w:rPr>
      </w:pPr>
    </w:p>
    <w:tbl>
      <w:tblPr>
        <w:tblStyle w:val="4"/>
        <w:tblW w:w="5000" w:type="pct"/>
        <w:tblInd w:w="0" w:type="dxa"/>
        <w:tblLayout w:type="fixed"/>
        <w:tblCellMar>
          <w:top w:w="0" w:type="dxa"/>
          <w:left w:w="108" w:type="dxa"/>
          <w:bottom w:w="0" w:type="dxa"/>
          <w:right w:w="108" w:type="dxa"/>
        </w:tblCellMar>
      </w:tblPr>
      <w:tblGrid>
        <w:gridCol w:w="417"/>
        <w:gridCol w:w="424"/>
        <w:gridCol w:w="147"/>
        <w:gridCol w:w="178"/>
        <w:gridCol w:w="546"/>
        <w:gridCol w:w="1363"/>
        <w:gridCol w:w="925"/>
        <w:gridCol w:w="475"/>
        <w:gridCol w:w="2395"/>
        <w:gridCol w:w="1176"/>
        <w:gridCol w:w="476"/>
      </w:tblGrid>
      <w:tr>
        <w:tblPrEx>
          <w:tblCellMar>
            <w:top w:w="0" w:type="dxa"/>
            <w:left w:w="108" w:type="dxa"/>
            <w:bottom w:w="0" w:type="dxa"/>
            <w:right w:w="108" w:type="dxa"/>
          </w:tblCellMar>
        </w:tblPrEx>
        <w:trPr>
          <w:trHeight w:val="623" w:hRule="atLeast"/>
        </w:trPr>
        <w:tc>
          <w:tcPr>
            <w:tcW w:w="579"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rFonts w:hint="eastAsia" w:hAnsi="宋体"/>
                <w:b/>
                <w:bCs/>
                <w:color w:val="C00000"/>
                <w:kern w:val="0"/>
                <w:sz w:val="24"/>
              </w:rPr>
              <w:t>项目名称</w:t>
            </w:r>
          </w:p>
        </w:tc>
        <w:tc>
          <w:tcPr>
            <w:tcW w:w="4420" w:type="pct"/>
            <w:gridSpan w:val="8"/>
            <w:tcBorders>
              <w:top w:val="single" w:color="auto" w:sz="4" w:space="0"/>
              <w:left w:val="nil"/>
              <w:bottom w:val="single" w:color="auto" w:sz="4" w:space="0"/>
              <w:right w:val="single" w:color="000000" w:sz="4" w:space="0"/>
            </w:tcBorders>
            <w:noWrap w:val="0"/>
            <w:vAlign w:val="center"/>
          </w:tcPr>
          <w:p>
            <w:pPr>
              <w:widowControl/>
              <w:jc w:val="center"/>
              <w:rPr>
                <w:b/>
                <w:bCs/>
                <w:kern w:val="0"/>
                <w:sz w:val="24"/>
              </w:rPr>
            </w:pPr>
            <w:r>
              <w:rPr>
                <w:rFonts w:hint="eastAsia" w:hAnsi="宋体"/>
                <w:b/>
                <w:bCs/>
                <w:kern w:val="0"/>
                <w:sz w:val="24"/>
                <w:lang w:val="en-US" w:eastAsia="zh-CN"/>
              </w:rPr>
              <w:t>装配式超低能耗建筑技术体系研发与应用</w:t>
            </w:r>
          </w:p>
        </w:tc>
      </w:tr>
      <w:tr>
        <w:tblPrEx>
          <w:tblCellMar>
            <w:top w:w="0" w:type="dxa"/>
            <w:left w:w="108" w:type="dxa"/>
            <w:bottom w:w="0" w:type="dxa"/>
            <w:right w:w="108" w:type="dxa"/>
          </w:tblCellMar>
        </w:tblPrEx>
        <w:trPr>
          <w:trHeight w:val="559" w:hRule="atLeast"/>
        </w:trPr>
        <w:tc>
          <w:tcPr>
            <w:tcW w:w="579" w:type="pct"/>
            <w:gridSpan w:val="3"/>
            <w:tcBorders>
              <w:top w:val="nil"/>
              <w:left w:val="single" w:color="auto" w:sz="4" w:space="0"/>
              <w:bottom w:val="single" w:color="auto" w:sz="4" w:space="0"/>
              <w:right w:val="single" w:color="auto" w:sz="4" w:space="0"/>
            </w:tcBorders>
            <w:noWrap w:val="0"/>
            <w:vAlign w:val="center"/>
          </w:tcPr>
          <w:p>
            <w:pPr>
              <w:widowControl/>
              <w:jc w:val="center"/>
              <w:rPr>
                <w:b/>
                <w:bCs/>
                <w:kern w:val="0"/>
                <w:sz w:val="24"/>
              </w:rPr>
            </w:pPr>
            <w:r>
              <w:rPr>
                <w:rFonts w:hint="eastAsia" w:hAnsi="宋体"/>
                <w:b/>
                <w:bCs/>
                <w:color w:val="C00000"/>
                <w:kern w:val="0"/>
                <w:sz w:val="24"/>
              </w:rPr>
              <w:t>提名单位</w:t>
            </w:r>
          </w:p>
        </w:tc>
        <w:tc>
          <w:tcPr>
            <w:tcW w:w="4420" w:type="pct"/>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b/>
                <w:bCs/>
                <w:kern w:val="0"/>
                <w:sz w:val="24"/>
                <w:lang w:val="en-US" w:eastAsia="zh-CN"/>
              </w:rPr>
            </w:pPr>
            <w:r>
              <w:rPr>
                <w:rFonts w:hAnsi="宋体"/>
                <w:b/>
                <w:bCs/>
                <w:kern w:val="0"/>
                <w:sz w:val="24"/>
              </w:rPr>
              <w:t>河北省</w:t>
            </w:r>
            <w:r>
              <w:rPr>
                <w:rFonts w:hint="eastAsia" w:hAnsi="宋体"/>
                <w:b/>
                <w:bCs/>
                <w:kern w:val="0"/>
                <w:sz w:val="24"/>
                <w:lang w:val="en-US" w:eastAsia="zh-CN"/>
              </w:rPr>
              <w:t>住房和城乡建设厅</w:t>
            </w:r>
          </w:p>
        </w:tc>
      </w:tr>
      <w:tr>
        <w:tblPrEx>
          <w:tblCellMar>
            <w:top w:w="0" w:type="dxa"/>
            <w:left w:w="108" w:type="dxa"/>
            <w:bottom w:w="0" w:type="dxa"/>
            <w:right w:w="108" w:type="dxa"/>
          </w:tblCellMar>
        </w:tblPrEx>
        <w:trPr>
          <w:trHeight w:val="645" w:hRule="atLeast"/>
        </w:trPr>
        <w:tc>
          <w:tcPr>
            <w:tcW w:w="579" w:type="pct"/>
            <w:gridSpan w:val="3"/>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b/>
                <w:bCs/>
                <w:kern w:val="0"/>
                <w:sz w:val="24"/>
              </w:rPr>
            </w:pPr>
            <w:r>
              <w:rPr>
                <w:rFonts w:hint="eastAsia" w:hAnsi="宋体"/>
                <w:b/>
                <w:bCs/>
                <w:color w:val="C00000"/>
                <w:kern w:val="0"/>
                <w:sz w:val="24"/>
              </w:rPr>
              <w:t>项目简介</w:t>
            </w:r>
          </w:p>
        </w:tc>
        <w:tc>
          <w:tcPr>
            <w:tcW w:w="4420" w:type="pct"/>
            <w:gridSpan w:val="8"/>
            <w:tcBorders>
              <w:top w:val="single" w:color="auto" w:sz="4" w:space="0"/>
              <w:left w:val="nil"/>
              <w:bottom w:val="single" w:color="auto" w:sz="4" w:space="0"/>
              <w:right w:val="single" w:color="000000" w:sz="4" w:space="0"/>
            </w:tcBorders>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宋体" w:hAnsi="宋体"/>
              </w:rPr>
            </w:pPr>
            <w:r>
              <w:rPr>
                <w:rFonts w:hint="eastAsia" w:ascii="宋体" w:hAnsi="宋体"/>
                <w:lang w:val="en-US" w:eastAsia="zh-CN"/>
              </w:rPr>
              <w:t>在“双碳”战略和“好房子”建设发展背景下，我国超低能耗建筑技术在建筑节能降碳、提升居住品质方面已取得显著成效，成为建筑领域推动能源消费革命、产业转型升级的重要举措。然而超低能耗建筑因精细化节点设计与复杂施工工艺，目前仍主要依赖传统现浇建造模式，导致存在建设周期长、劳动生</w:t>
            </w:r>
            <w:bookmarkStart w:id="0" w:name="_GoBack"/>
            <w:bookmarkEnd w:id="0"/>
            <w:r>
              <w:rPr>
                <w:rFonts w:hint="eastAsia" w:ascii="宋体" w:hAnsi="宋体"/>
                <w:lang w:val="en-US" w:eastAsia="zh-CN"/>
              </w:rPr>
              <w:t>产率低、施工质量管控困难等瓶颈，严重影响了超低能耗建筑的高质量发展与规模化应用。</w:t>
            </w:r>
          </w:p>
          <w:p>
            <w:pPr>
              <w:spacing w:line="360" w:lineRule="exact"/>
              <w:ind w:firstLine="480" w:firstLineChars="200"/>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针对上述问题，项目通过“技术体系创新-部品研发-智能生产”三轴联动，研发适用装配式混凝土结构、装配式钢结构的超低能耗建筑智能建造体系，发明适用不同建筑技术体系的预制高性能外围护系统，开发配套自动化生产系统及智能装备，解决装配式超低能耗建筑工业化建造及规模化发展的技术瓶颈，推动我国新时期建筑业的绿色低碳转型升级和高质量发展。</w:t>
            </w:r>
          </w:p>
          <w:p>
            <w:pPr>
              <w:snapToGrid w:val="0"/>
              <w:spacing w:line="360" w:lineRule="exact"/>
              <w:ind w:firstLine="480" w:firstLineChars="200"/>
              <w:rPr>
                <w:rFonts w:hint="eastAsia"/>
                <w:sz w:val="22"/>
                <w:szCs w:val="22"/>
              </w:rPr>
            </w:pPr>
            <w:r>
              <w:rPr>
                <w:rFonts w:hint="eastAsia" w:ascii="仿宋_GB2312" w:cs="Times New Roman"/>
                <w:strike w:val="0"/>
                <w:dstrike w:val="0"/>
                <w:kern w:val="2"/>
                <w:sz w:val="24"/>
                <w:szCs w:val="24"/>
                <w:lang w:val="en-US" w:eastAsia="zh-CN" w:bidi="ar-SA"/>
              </w:rPr>
              <w:t>项目成果应用于京津冀及内蒙古、山西等多个地市，建成保温材料、无热桥连接件、预制构件生产线100余条，形成了产业集群。</w:t>
            </w:r>
          </w:p>
        </w:tc>
      </w:tr>
      <w:tr>
        <w:tblPrEx>
          <w:tblCellMar>
            <w:top w:w="0" w:type="dxa"/>
            <w:left w:w="108" w:type="dxa"/>
            <w:bottom w:w="0" w:type="dxa"/>
            <w:right w:w="108" w:type="dxa"/>
          </w:tblCellMar>
        </w:tblPrEx>
        <w:trPr>
          <w:trHeight w:val="887" w:hRule="atLeast"/>
        </w:trPr>
        <w:tc>
          <w:tcPr>
            <w:tcW w:w="579" w:type="pct"/>
            <w:gridSpan w:val="3"/>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hAnsi="宋体"/>
                <w:b/>
                <w:bCs/>
                <w:color w:val="C00000"/>
                <w:kern w:val="0"/>
                <w:sz w:val="24"/>
              </w:rPr>
            </w:pPr>
            <w:r>
              <w:rPr>
                <w:rFonts w:hint="eastAsia" w:hAnsi="宋体"/>
                <w:b/>
                <w:bCs/>
                <w:color w:val="C00000"/>
                <w:kern w:val="0"/>
                <w:sz w:val="24"/>
              </w:rPr>
              <w:t>主要完成单位及创新推广贡献</w:t>
            </w:r>
          </w:p>
        </w:tc>
        <w:tc>
          <w:tcPr>
            <w:tcW w:w="4420" w:type="pct"/>
            <w:gridSpan w:val="8"/>
            <w:tcBorders>
              <w:top w:val="single" w:color="auto" w:sz="4" w:space="0"/>
              <w:left w:val="nil"/>
              <w:bottom w:val="single" w:color="auto" w:sz="4" w:space="0"/>
              <w:right w:val="single" w:color="000000" w:sz="4" w:space="0"/>
            </w:tcBorders>
            <w:shd w:val="clear" w:color="auto" w:fill="FFFFFF"/>
            <w:noWrap w:val="0"/>
            <w:vAlign w:val="center"/>
          </w:tcPr>
          <w:p>
            <w:pPr>
              <w:pStyle w:val="2"/>
              <w:keepNext w:val="0"/>
              <w:keepLines w:val="0"/>
              <w:widowControl/>
              <w:shd w:val="clear" w:color="auto" w:fill="FFFFFF"/>
              <w:spacing w:before="0" w:after="0" w:line="360" w:lineRule="atLeast"/>
              <w:ind w:firstLine="480" w:firstLineChars="200"/>
              <w:jc w:val="both"/>
              <w:rPr>
                <w:rFonts w:hint="default" w:ascii="宋体" w:hAnsi="宋体" w:eastAsia="宋体" w:cs="Times New Roman"/>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项目“装配式超低能耗建筑技术体系研发与应用”是由河北省建筑科学研究院有限公司</w:t>
            </w:r>
            <w:r>
              <w:rPr>
                <w:rFonts w:hint="eastAsia" w:ascii="宋体" w:hAnsi="宋体" w:cs="Times New Roman"/>
                <w:b w:val="0"/>
                <w:bCs w:val="0"/>
                <w:kern w:val="2"/>
                <w:sz w:val="24"/>
                <w:szCs w:val="24"/>
                <w:lang w:val="en-US" w:eastAsia="zh-CN" w:bidi="ar-SA"/>
              </w:rPr>
              <w:t>/1、</w:t>
            </w:r>
            <w:r>
              <w:rPr>
                <w:rFonts w:hint="eastAsia" w:ascii="宋体" w:hAnsi="宋体" w:eastAsia="宋体" w:cs="Times New Roman"/>
                <w:b w:val="0"/>
                <w:bCs w:val="0"/>
                <w:kern w:val="2"/>
                <w:sz w:val="24"/>
                <w:szCs w:val="24"/>
                <w:lang w:val="en-US" w:eastAsia="zh-CN" w:bidi="ar-SA"/>
              </w:rPr>
              <w:t>中建科技集团有限公司</w:t>
            </w:r>
            <w:r>
              <w:rPr>
                <w:rFonts w:hint="eastAsia" w:ascii="宋体" w:hAnsi="宋体" w:cs="Times New Roman"/>
                <w:b w:val="0"/>
                <w:bCs w:val="0"/>
                <w:kern w:val="2"/>
                <w:sz w:val="24"/>
                <w:szCs w:val="24"/>
                <w:lang w:val="en-US" w:eastAsia="zh-CN" w:bidi="ar-SA"/>
              </w:rPr>
              <w:t>/2、</w:t>
            </w:r>
            <w:r>
              <w:rPr>
                <w:rFonts w:hint="eastAsia" w:ascii="宋体" w:hAnsi="宋体" w:eastAsia="宋体" w:cs="Times New Roman"/>
                <w:b w:val="0"/>
                <w:bCs w:val="0"/>
                <w:kern w:val="2"/>
                <w:sz w:val="24"/>
                <w:szCs w:val="24"/>
                <w:lang w:val="en-US" w:eastAsia="zh-CN" w:bidi="ar-SA"/>
              </w:rPr>
              <w:t>河北新大地机电制造有限公司</w:t>
            </w:r>
            <w:r>
              <w:rPr>
                <w:rFonts w:hint="eastAsia" w:ascii="宋体" w:hAnsi="宋体" w:cs="Times New Roman"/>
                <w:b w:val="0"/>
                <w:bCs w:val="0"/>
                <w:kern w:val="2"/>
                <w:sz w:val="24"/>
                <w:szCs w:val="24"/>
                <w:lang w:val="en-US" w:eastAsia="zh-CN" w:bidi="ar-SA"/>
              </w:rPr>
              <w:t>/3、</w:t>
            </w:r>
            <w:r>
              <w:rPr>
                <w:rFonts w:hint="eastAsia" w:ascii="宋体" w:hAnsi="宋体" w:eastAsia="宋体" w:cs="Times New Roman"/>
                <w:b w:val="0"/>
                <w:bCs w:val="0"/>
                <w:kern w:val="2"/>
                <w:sz w:val="24"/>
                <w:szCs w:val="24"/>
                <w:lang w:val="en-US" w:eastAsia="zh-CN" w:bidi="ar-SA"/>
              </w:rPr>
              <w:t>中国二十二冶集团有限公司</w:t>
            </w:r>
            <w:r>
              <w:rPr>
                <w:rFonts w:hint="eastAsia" w:ascii="宋体" w:hAnsi="宋体" w:cs="Times New Roman"/>
                <w:b w:val="0"/>
                <w:bCs w:val="0"/>
                <w:kern w:val="2"/>
                <w:sz w:val="24"/>
                <w:szCs w:val="24"/>
                <w:lang w:val="en-US" w:eastAsia="zh-CN" w:bidi="ar-SA"/>
              </w:rPr>
              <w:t>/4、</w:t>
            </w:r>
            <w:r>
              <w:rPr>
                <w:rFonts w:hint="eastAsia" w:ascii="宋体" w:hAnsi="宋体" w:eastAsia="宋体" w:cs="Times New Roman"/>
                <w:b w:val="0"/>
                <w:bCs w:val="0"/>
                <w:kern w:val="2"/>
                <w:sz w:val="24"/>
                <w:szCs w:val="24"/>
                <w:lang w:val="en-US" w:eastAsia="zh-CN" w:bidi="ar-SA"/>
              </w:rPr>
              <w:t>承德绿建建筑节能科技有限公司</w:t>
            </w:r>
            <w:r>
              <w:rPr>
                <w:rFonts w:hint="eastAsia" w:ascii="宋体" w:hAnsi="宋体" w:cs="Times New Roman"/>
                <w:b w:val="0"/>
                <w:bCs w:val="0"/>
                <w:kern w:val="2"/>
                <w:sz w:val="24"/>
                <w:szCs w:val="24"/>
                <w:lang w:val="en-US" w:eastAsia="zh-CN" w:bidi="ar-SA"/>
              </w:rPr>
              <w:t>/5共同完成，其中</w:t>
            </w:r>
            <w:r>
              <w:rPr>
                <w:rFonts w:hint="eastAsia" w:ascii="宋体" w:hAnsi="宋体" w:eastAsia="宋体" w:cs="Times New Roman"/>
                <w:b w:val="0"/>
                <w:bCs w:val="0"/>
                <w:kern w:val="2"/>
                <w:sz w:val="24"/>
                <w:szCs w:val="24"/>
                <w:lang w:val="en-US" w:eastAsia="zh-CN" w:bidi="ar-SA"/>
              </w:rPr>
              <w:fldChar w:fldCharType="begin"/>
            </w:r>
            <w:r>
              <w:rPr>
                <w:rFonts w:hint="eastAsia" w:ascii="宋体" w:hAnsi="宋体" w:eastAsia="宋体" w:cs="Times New Roman"/>
                <w:b w:val="0"/>
                <w:bCs w:val="0"/>
                <w:kern w:val="2"/>
                <w:sz w:val="24"/>
                <w:szCs w:val="24"/>
                <w:lang w:val="en-US" w:eastAsia="zh-CN" w:bidi="ar-SA"/>
              </w:rPr>
              <w:instrText xml:space="preserve"> HYPERLINK "https://www.iprdb.com/s?ds=all&amp;q=ap:" </w:instrText>
            </w:r>
            <w:r>
              <w:rPr>
                <w:rFonts w:hint="eastAsia" w:ascii="宋体" w:hAnsi="宋体" w:eastAsia="宋体" w:cs="Times New Roman"/>
                <w:b w:val="0"/>
                <w:bCs w:val="0"/>
                <w:kern w:val="2"/>
                <w:sz w:val="24"/>
                <w:szCs w:val="24"/>
                <w:lang w:val="en-US" w:eastAsia="zh-CN" w:bidi="ar-SA"/>
              </w:rPr>
              <w:fldChar w:fldCharType="separate"/>
            </w:r>
            <w:r>
              <w:rPr>
                <w:rFonts w:hint="eastAsia" w:ascii="宋体" w:hAnsi="宋体" w:eastAsia="宋体" w:cs="Times New Roman"/>
                <w:b w:val="0"/>
                <w:bCs w:val="0"/>
                <w:kern w:val="2"/>
                <w:sz w:val="24"/>
                <w:szCs w:val="24"/>
                <w:lang w:val="en-US" w:eastAsia="zh-CN" w:bidi="ar-SA"/>
              </w:rPr>
              <w:t>中国二十二冶集团有限公司</w:t>
            </w:r>
            <w:r>
              <w:rPr>
                <w:rFonts w:hint="eastAsia" w:ascii="宋体" w:hAnsi="宋体" w:eastAsia="宋体" w:cs="Times New Roman"/>
                <w:b w:val="0"/>
                <w:bCs w:val="0"/>
                <w:kern w:val="2"/>
                <w:sz w:val="24"/>
                <w:szCs w:val="24"/>
                <w:lang w:val="en-US" w:eastAsia="zh-CN" w:bidi="ar-SA"/>
              </w:rPr>
              <w:fldChar w:fldCharType="end"/>
            </w:r>
            <w:r>
              <w:rPr>
                <w:rFonts w:hint="eastAsia" w:ascii="宋体" w:hAnsi="宋体" w:cs="Times New Roman"/>
                <w:b w:val="0"/>
                <w:bCs w:val="0"/>
                <w:kern w:val="2"/>
                <w:sz w:val="24"/>
                <w:szCs w:val="24"/>
                <w:lang w:val="en-US" w:eastAsia="zh-CN" w:bidi="ar-SA"/>
              </w:rPr>
              <w:t>主要贡献如下：</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宋体" w:hAnsi="宋体" w:eastAsia="楷体_GB2312" w:cs="仿宋_GB2312"/>
                <w:lang w:eastAsia="zh-CN"/>
              </w:rPr>
            </w:pPr>
            <w:r>
              <w:rPr>
                <w:rFonts w:hint="eastAsia" w:ascii="宋体" w:hAnsi="宋体" w:cs="仿宋_GB2312"/>
              </w:rPr>
              <w:fldChar w:fldCharType="begin"/>
            </w:r>
            <w:r>
              <w:rPr>
                <w:rFonts w:hint="eastAsia" w:ascii="宋体" w:hAnsi="宋体" w:cs="仿宋_GB2312"/>
              </w:rPr>
              <w:instrText xml:space="preserve"> HYPERLINK "https://www.iprdb.com/s?ds=all&amp;q=ap:" </w:instrText>
            </w:r>
            <w:r>
              <w:rPr>
                <w:rFonts w:hint="eastAsia" w:ascii="宋体" w:hAnsi="宋体" w:cs="仿宋_GB2312"/>
              </w:rPr>
              <w:fldChar w:fldCharType="separate"/>
            </w:r>
            <w:r>
              <w:rPr>
                <w:rFonts w:hint="eastAsia" w:ascii="宋体" w:hAnsi="宋体" w:cs="仿宋_GB2312"/>
              </w:rPr>
              <w:t>中国二十二冶集团有限公司</w:t>
            </w:r>
            <w:r>
              <w:rPr>
                <w:rFonts w:hint="eastAsia" w:ascii="宋体" w:hAnsi="宋体" w:cs="仿宋_GB2312"/>
              </w:rPr>
              <w:fldChar w:fldCharType="end"/>
            </w:r>
            <w:r>
              <w:rPr>
                <w:rFonts w:hint="eastAsia" w:ascii="宋体" w:hAnsi="宋体" w:cs="仿宋_GB2312"/>
                <w:lang w:eastAsia="zh-CN"/>
              </w:rPr>
              <w:t>：</w:t>
            </w:r>
            <w:r>
              <w:rPr>
                <w:rFonts w:hint="eastAsia" w:ascii="Times New Roman" w:hAnsi="宋体"/>
              </w:rPr>
              <w:t>发明了暗藏钢梁的超低能耗钢结构技术体系，开发了钢结构与围护墙板一体化预制技术</w:t>
            </w:r>
            <w:r>
              <w:rPr>
                <w:rFonts w:hint="eastAsia" w:ascii="Times New Roman" w:hAnsi="宋体"/>
                <w:lang w:eastAsia="zh-CN"/>
              </w:rPr>
              <w:t>；创新了钢结构外包混凝土防火技术，研发了钢梁组合楼盖体系。</w:t>
            </w:r>
          </w:p>
        </w:tc>
      </w:tr>
      <w:tr>
        <w:tblPrEx>
          <w:tblCellMar>
            <w:top w:w="0" w:type="dxa"/>
            <w:left w:w="108" w:type="dxa"/>
            <w:bottom w:w="0" w:type="dxa"/>
            <w:right w:w="108" w:type="dxa"/>
          </w:tblCellMar>
        </w:tblPrEx>
        <w:trPr>
          <w:trHeight w:val="887" w:hRule="atLeast"/>
        </w:trPr>
        <w:tc>
          <w:tcPr>
            <w:tcW w:w="579" w:type="pct"/>
            <w:gridSpan w:val="3"/>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b/>
                <w:bCs/>
                <w:kern w:val="0"/>
                <w:sz w:val="24"/>
              </w:rPr>
            </w:pPr>
            <w:r>
              <w:rPr>
                <w:rFonts w:hint="eastAsia" w:hAnsi="宋体"/>
                <w:b/>
                <w:bCs/>
                <w:color w:val="C00000"/>
                <w:kern w:val="0"/>
                <w:sz w:val="24"/>
              </w:rPr>
              <w:t>推广应用及经济社会效益情况</w:t>
            </w:r>
          </w:p>
        </w:tc>
        <w:tc>
          <w:tcPr>
            <w:tcW w:w="4420" w:type="pct"/>
            <w:gridSpan w:val="8"/>
            <w:tcBorders>
              <w:top w:val="single" w:color="auto" w:sz="4" w:space="0"/>
              <w:left w:val="nil"/>
              <w:bottom w:val="single" w:color="auto" w:sz="4" w:space="0"/>
              <w:right w:val="single" w:color="000000" w:sz="4" w:space="0"/>
            </w:tcBorders>
            <w:shd w:val="clear" w:color="auto" w:fill="FFFFFF"/>
            <w:noWrap w:val="0"/>
            <w:vAlign w:val="center"/>
          </w:tcPr>
          <w:p>
            <w:pPr>
              <w:snapToGrid w:val="0"/>
              <w:spacing w:line="360" w:lineRule="exact"/>
              <w:ind w:firstLine="480" w:firstLineChars="200"/>
              <w:rPr>
                <w:rFonts w:hint="eastAsia" w:ascii="仿宋_GB2312" w:hAnsi="Times New Roman" w:eastAsia="宋体" w:cs="Times New Roman"/>
                <w:strike w:val="0"/>
                <w:dstrike w:val="0"/>
                <w:kern w:val="2"/>
                <w:sz w:val="24"/>
                <w:szCs w:val="24"/>
                <w:lang w:val="en-US" w:eastAsia="zh-CN" w:bidi="ar-SA"/>
              </w:rPr>
            </w:pPr>
            <w:r>
              <w:rPr>
                <w:rFonts w:hint="eastAsia" w:hAnsi="宋体"/>
                <w:sz w:val="24"/>
              </w:rPr>
              <w:t>项目通过产学研用相结合，开展了装配式超低能耗建筑技术攻关与规模化应用，形成了具有自主知识产权的系列成果，被全国大型设计、生产、施工、开发单位广泛应用，遍布京津冀及内蒙古、</w:t>
            </w:r>
            <w:r>
              <w:rPr>
                <w:rFonts w:hint="eastAsia" w:hAnsi="宋体"/>
                <w:sz w:val="24"/>
                <w:lang w:val="en-US" w:eastAsia="zh-CN"/>
              </w:rPr>
              <w:t>山西</w:t>
            </w:r>
            <w:r>
              <w:rPr>
                <w:rFonts w:hint="eastAsia" w:hAnsi="宋体"/>
                <w:sz w:val="24"/>
              </w:rPr>
              <w:t>等多个地市</w:t>
            </w:r>
            <w:r>
              <w:rPr>
                <w:rFonts w:hint="eastAsia" w:hAnsi="宋体"/>
                <w:sz w:val="24"/>
                <w:lang w:eastAsia="zh-CN"/>
              </w:rPr>
              <w:t>，</w:t>
            </w:r>
            <w:r>
              <w:rPr>
                <w:rFonts w:hint="eastAsia" w:ascii="宋体" w:hAnsi="宋体" w:cs="Times New Roman"/>
                <w:kern w:val="2"/>
                <w:sz w:val="24"/>
                <w:szCs w:val="24"/>
                <w:lang w:val="en-US" w:eastAsia="zh-CN" w:bidi="ar-SA"/>
              </w:rPr>
              <w:t>推动我国新时期建筑业的绿色低碳转型升级和高质量发展，实现经济效益和社会生态效益的双赢</w:t>
            </w:r>
            <w:r>
              <w:rPr>
                <w:rFonts w:hint="eastAsia" w:hAnsi="宋体"/>
                <w:sz w:val="24"/>
                <w:lang w:eastAsia="zh-CN"/>
              </w:rPr>
              <w:t>。</w:t>
            </w:r>
          </w:p>
          <w:p>
            <w:pPr>
              <w:snapToGrid w:val="0"/>
              <w:spacing w:line="360" w:lineRule="exact"/>
              <w:ind w:firstLine="480" w:firstLineChars="2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（1）经济效益</w:t>
            </w:r>
          </w:p>
          <w:p>
            <w:pPr>
              <w:snapToGrid w:val="0"/>
              <w:spacing w:line="360" w:lineRule="exact"/>
              <w:ind w:firstLine="480" w:firstLineChars="200"/>
              <w:rPr>
                <w:rFonts w:hint="default" w:ascii="仿宋_GB2312" w:cs="Times New Roman"/>
                <w:strike w:val="0"/>
                <w:dstrike w:val="0"/>
                <w:kern w:val="2"/>
                <w:sz w:val="24"/>
                <w:szCs w:val="24"/>
                <w:lang w:val="en-US" w:eastAsia="zh-CN" w:bidi="ar-SA"/>
              </w:rPr>
            </w:pPr>
            <w:r>
              <w:rPr>
                <w:rFonts w:hint="eastAsia" w:ascii="仿宋_GB2312" w:cs="Times New Roman"/>
                <w:strike w:val="0"/>
                <w:dstrike w:val="0"/>
                <w:kern w:val="2"/>
                <w:sz w:val="24"/>
                <w:szCs w:val="24"/>
                <w:lang w:val="en-US" w:eastAsia="zh-CN" w:bidi="ar-SA"/>
              </w:rPr>
              <w:t>中央提出到2025年底，城镇新建建筑全面执行绿色建筑标准，新建超低能耗建筑、近零能耗建筑面积较2023年增长2000万平方米以上，河北省也多次出台文件“2025年全省装配式建筑比例达到30%以上”，处于主导地位的装配式混凝土建筑占比超65%。因此，装配式超低能耗建筑技术推广应用产生的经济效益显著，</w:t>
            </w:r>
            <w:r>
              <w:rPr>
                <w:rFonts w:hint="eastAsia" w:hAnsi="宋体"/>
                <w:sz w:val="24"/>
                <w:lang w:val="en-US" w:eastAsia="zh-CN"/>
              </w:rPr>
              <w:t>有效推动了我国</w:t>
            </w:r>
            <w:r>
              <w:rPr>
                <w:rFonts w:hAnsi="宋体"/>
                <w:sz w:val="24"/>
              </w:rPr>
              <w:t>实体经济增长</w:t>
            </w:r>
            <w:r>
              <w:rPr>
                <w:rFonts w:hint="eastAsia" w:hAnsi="宋体"/>
                <w:sz w:val="24"/>
                <w:lang w:eastAsia="zh-CN"/>
              </w:rPr>
              <w:t>。</w:t>
            </w:r>
          </w:p>
          <w:p>
            <w:pPr>
              <w:snapToGrid w:val="0"/>
              <w:spacing w:line="360" w:lineRule="exact"/>
              <w:ind w:firstLine="480" w:firstLineChars="200"/>
              <w:rPr>
                <w:rFonts w:hint="eastAsia" w:ascii="仿宋_GB2312" w:cs="Times New Roman"/>
                <w:strike w:val="0"/>
                <w:dstrike w:val="0"/>
                <w:kern w:val="2"/>
                <w:sz w:val="24"/>
                <w:szCs w:val="24"/>
                <w:lang w:val="en-US" w:eastAsia="zh-CN" w:bidi="ar-SA"/>
              </w:rPr>
            </w:pPr>
            <w:r>
              <w:rPr>
                <w:rFonts w:hint="eastAsia" w:ascii="仿宋_GB2312" w:cs="Times New Roman"/>
                <w:strike w:val="0"/>
                <w:dstrike w:val="0"/>
                <w:kern w:val="2"/>
                <w:sz w:val="24"/>
                <w:szCs w:val="24"/>
                <w:lang w:val="en-US" w:eastAsia="zh-CN" w:bidi="ar-SA"/>
              </w:rPr>
              <w:t>（2）社会效益</w:t>
            </w:r>
          </w:p>
          <w:p>
            <w:pPr>
              <w:snapToGrid w:val="0"/>
              <w:spacing w:line="360" w:lineRule="exact"/>
              <w:ind w:firstLine="480" w:firstLineChars="200"/>
              <w:rPr>
                <w:rFonts w:hint="eastAsia" w:hAnsi="宋体" w:eastAsia="宋体"/>
                <w:sz w:val="24"/>
                <w:lang w:eastAsia="zh-CN"/>
              </w:rPr>
            </w:pPr>
            <w:r>
              <w:rPr>
                <w:rFonts w:hint="eastAsia" w:hAnsi="宋体" w:cs="Times New Roman"/>
                <w:kern w:val="2"/>
                <w:sz w:val="24"/>
                <w:szCs w:val="24"/>
                <w:lang w:val="en-US" w:eastAsia="zh-CN" w:bidi="ar-SA"/>
              </w:rPr>
              <w:t>项目成果</w:t>
            </w:r>
            <w:r>
              <w:rPr>
                <w:rFonts w:hAnsi="宋体"/>
                <w:sz w:val="24"/>
              </w:rPr>
              <w:t>将过去传统的粗放式建筑管理模式转变为全产业链、精细化的设计研发生产装配模式，</w:t>
            </w:r>
            <w:r>
              <w:rPr>
                <w:rFonts w:hint="eastAsia" w:hAnsi="宋体"/>
                <w:sz w:val="24"/>
                <w:lang w:val="en-US" w:eastAsia="zh-CN"/>
              </w:rPr>
              <w:t>有效提助力“双碳”目标，减少环境影响，提升建筑品质，促进“好房子”建设，保障民生需求</w:t>
            </w:r>
            <w:r>
              <w:rPr>
                <w:rFonts w:hint="eastAsia" w:hAnsi="宋体"/>
                <w:sz w:val="24"/>
                <w:lang w:eastAsia="zh-CN"/>
              </w:rPr>
              <w:t>。</w:t>
            </w:r>
          </w:p>
          <w:p>
            <w:pPr>
              <w:snapToGrid w:val="0"/>
              <w:spacing w:line="360" w:lineRule="exact"/>
              <w:ind w:firstLine="480" w:firstLineChars="200"/>
              <w:rPr>
                <w:rFonts w:hint="eastAsia" w:hAnsi="宋体"/>
                <w:sz w:val="24"/>
              </w:rPr>
            </w:pPr>
            <w:r>
              <w:rPr>
                <w:rFonts w:hAnsi="宋体"/>
                <w:sz w:val="24"/>
              </w:rPr>
              <w:t>项目成果的大范围推广应用</w:t>
            </w:r>
            <w:r>
              <w:rPr>
                <w:rFonts w:hint="eastAsia" w:hAnsi="宋体"/>
                <w:sz w:val="24"/>
                <w:lang w:eastAsia="zh-CN"/>
              </w:rPr>
              <w:t>，</w:t>
            </w:r>
            <w:r>
              <w:rPr>
                <w:rFonts w:hint="eastAsia" w:hAnsi="宋体"/>
                <w:sz w:val="24"/>
                <w:lang w:val="en-US" w:eastAsia="zh-CN"/>
              </w:rPr>
              <w:t>有效带动了</w:t>
            </w:r>
            <w:r>
              <w:rPr>
                <w:rFonts w:hint="eastAsia" w:ascii="Times New Roman" w:hAnsi="宋体" w:eastAsia="宋体" w:cs="Times New Roman"/>
                <w:kern w:val="2"/>
                <w:sz w:val="24"/>
                <w:szCs w:val="24"/>
                <w:lang w:val="en-US" w:eastAsia="zh-CN" w:bidi="ar-SA"/>
              </w:rPr>
              <w:t>建筑构配件及部品</w:t>
            </w:r>
            <w:r>
              <w:rPr>
                <w:rFonts w:hint="eastAsia" w:hAnsi="宋体" w:cs="Times New Roman"/>
                <w:kern w:val="2"/>
                <w:sz w:val="24"/>
                <w:szCs w:val="24"/>
                <w:lang w:val="en-US" w:eastAsia="zh-CN" w:bidi="ar-SA"/>
              </w:rPr>
              <w:t>产业发展，</w:t>
            </w:r>
            <w:r>
              <w:rPr>
                <w:rFonts w:hint="eastAsia" w:ascii="Times New Roman" w:hAnsi="宋体" w:eastAsia="宋体" w:cs="Times New Roman"/>
                <w:kern w:val="2"/>
                <w:sz w:val="24"/>
                <w:szCs w:val="24"/>
                <w:lang w:val="en-US" w:eastAsia="zh-CN" w:bidi="ar-SA"/>
              </w:rPr>
              <w:t>增加区域和行业的就业机会；引入了BIM技术、智能建造、精益建造等先进技术，改善传统粗放生产方式，助推建筑产业化升级</w:t>
            </w:r>
            <w:r>
              <w:rPr>
                <w:rFonts w:hint="eastAsia" w:hAnsi="宋体" w:cs="Times New Roman"/>
                <w:kern w:val="2"/>
                <w:sz w:val="24"/>
                <w:szCs w:val="24"/>
                <w:lang w:val="en-US" w:eastAsia="zh-CN" w:bidi="ar-SA"/>
              </w:rPr>
              <w:t>，</w:t>
            </w:r>
            <w:r>
              <w:rPr>
                <w:rFonts w:hint="eastAsia"/>
                <w:b w:val="0"/>
                <w:bCs w:val="0"/>
                <w:strike w:val="0"/>
                <w:dstrike w:val="0"/>
                <w:color w:val="auto"/>
                <w:sz w:val="24"/>
                <w:szCs w:val="21"/>
                <w:highlight w:val="none"/>
                <w:lang w:eastAsia="zh-CN"/>
              </w:rPr>
              <w:t>全面提升了建筑室内环境质量，显著提升居民健康水平</w:t>
            </w:r>
            <w:r>
              <w:rPr>
                <w:rFonts w:hint="eastAsia" w:ascii="Times New Roman" w:hAnsi="宋体" w:eastAsia="宋体" w:cs="Times New Roman"/>
                <w:kern w:val="2"/>
                <w:sz w:val="24"/>
                <w:szCs w:val="24"/>
                <w:lang w:val="en-US" w:eastAsia="zh-CN" w:bidi="ar-SA"/>
              </w:rPr>
              <w:t>。</w:t>
            </w:r>
          </w:p>
        </w:tc>
      </w:tr>
      <w:tr>
        <w:tblPrEx>
          <w:tblCellMar>
            <w:top w:w="0" w:type="dxa"/>
            <w:left w:w="108" w:type="dxa"/>
            <w:bottom w:w="0" w:type="dxa"/>
            <w:right w:w="108" w:type="dxa"/>
          </w:tblCellMar>
        </w:tblPrEx>
        <w:trPr>
          <w:trHeight w:val="559" w:hRule="atLeast"/>
        </w:trPr>
        <w:tc>
          <w:tcPr>
            <w:tcW w:w="5000" w:type="pct"/>
            <w:gridSpan w:val="11"/>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b/>
                <w:bCs/>
                <w:kern w:val="0"/>
                <w:sz w:val="24"/>
              </w:rPr>
            </w:pPr>
            <w:r>
              <w:rPr>
                <w:rFonts w:hint="eastAsia" w:hAnsi="宋体"/>
                <w:b/>
                <w:bCs/>
                <w:color w:val="C00000"/>
                <w:kern w:val="0"/>
                <w:sz w:val="24"/>
              </w:rPr>
              <w:t>主要知识产权证明目录</w:t>
            </w:r>
          </w:p>
        </w:tc>
      </w:tr>
      <w:tr>
        <w:tblPrEx>
          <w:tblCellMar>
            <w:top w:w="0" w:type="dxa"/>
            <w:left w:w="108" w:type="dxa"/>
            <w:bottom w:w="0" w:type="dxa"/>
            <w:right w:w="108" w:type="dxa"/>
          </w:tblCellMar>
        </w:tblPrEx>
        <w:trPr>
          <w:trHeight w:val="1045" w:hRule="atLeast"/>
        </w:trPr>
        <w:tc>
          <w:tcPr>
            <w:tcW w:w="5000" w:type="pct"/>
            <w:gridSpan w:val="11"/>
            <w:tcBorders>
              <w:top w:val="single" w:color="auto" w:sz="4" w:space="0"/>
              <w:left w:val="single" w:color="auto" w:sz="4" w:space="0"/>
              <w:bottom w:val="single" w:color="auto" w:sz="4" w:space="0"/>
              <w:right w:val="single" w:color="000000" w:sz="4" w:space="0"/>
            </w:tcBorders>
            <w:shd w:val="clear" w:color="auto" w:fill="auto"/>
            <w:noWrap w:val="0"/>
            <w:vAlign w:val="center"/>
          </w:tcPr>
          <w:p>
            <w:pPr>
              <w:snapToGrid w:val="0"/>
              <w:spacing w:line="360" w:lineRule="exact"/>
              <w:ind w:firstLine="480" w:firstLineChars="200"/>
              <w:rPr>
                <w:rFonts w:hint="eastAsia" w:hAnsi="宋体"/>
                <w:sz w:val="24"/>
                <w:lang w:eastAsia="zh-CN"/>
              </w:rPr>
            </w:pPr>
            <w:r>
              <w:rPr>
                <w:rFonts w:hint="eastAsia" w:hAnsi="宋体"/>
                <w:sz w:val="24"/>
              </w:rPr>
              <w:t>1.</w:t>
            </w:r>
            <w:r>
              <w:rPr>
                <w:rFonts w:hint="eastAsia" w:hAnsi="宋体"/>
                <w:sz w:val="24"/>
              </w:rPr>
              <w:fldChar w:fldCharType="begin"/>
            </w:r>
            <w:r>
              <w:rPr>
                <w:rFonts w:hint="eastAsia" w:hAnsi="宋体"/>
                <w:sz w:val="24"/>
              </w:rPr>
              <w:instrText xml:space="preserve"> HYPERLINK "https://www.iprdb.com/s?ds=all&amp;q=ap:(" </w:instrText>
            </w:r>
            <w:r>
              <w:rPr>
                <w:rFonts w:hint="eastAsia" w:hAnsi="宋体"/>
                <w:sz w:val="24"/>
              </w:rPr>
              <w:fldChar w:fldCharType="separate"/>
            </w:r>
            <w:r>
              <w:rPr>
                <w:rFonts w:hint="eastAsia" w:hAnsi="宋体"/>
                <w:sz w:val="24"/>
              </w:rPr>
              <w:t>张晓峰</w:t>
            </w:r>
            <w:r>
              <w:rPr>
                <w:rFonts w:hint="eastAsia" w:hAnsi="宋体"/>
                <w:sz w:val="24"/>
              </w:rPr>
              <w:fldChar w:fldCharType="end"/>
            </w:r>
            <w:r>
              <w:rPr>
                <w:rFonts w:hint="eastAsia" w:hAnsi="宋体"/>
                <w:sz w:val="24"/>
                <w:lang w:eastAsia="zh-CN"/>
              </w:rPr>
              <w:t>。</w:t>
            </w:r>
            <w:r>
              <w:rPr>
                <w:rFonts w:hint="eastAsia" w:hAnsi="宋体"/>
                <w:sz w:val="24"/>
              </w:rPr>
              <w:t>轻质隔声墙板热桥节点</w:t>
            </w:r>
            <w:r>
              <w:rPr>
                <w:rFonts w:hint="eastAsia" w:hAnsi="宋体"/>
                <w:sz w:val="24"/>
                <w:lang w:eastAsia="zh-CN"/>
              </w:rPr>
              <w:t>，</w:t>
            </w:r>
            <w:r>
              <w:rPr>
                <w:rFonts w:hint="eastAsia" w:hAnsi="宋体"/>
                <w:sz w:val="24"/>
              </w:rPr>
              <w:t>ZL202410581963.9</w:t>
            </w:r>
            <w:r>
              <w:rPr>
                <w:rFonts w:hint="eastAsia" w:hAnsi="宋体"/>
                <w:sz w:val="24"/>
                <w:lang w:eastAsia="zh-CN"/>
              </w:rPr>
              <w:t>，</w:t>
            </w:r>
            <w:r>
              <w:rPr>
                <w:rFonts w:hint="eastAsia" w:hAnsi="宋体"/>
                <w:sz w:val="24"/>
              </w:rPr>
              <w:fldChar w:fldCharType="begin"/>
            </w:r>
            <w:r>
              <w:rPr>
                <w:rFonts w:hint="eastAsia" w:hAnsi="宋体"/>
                <w:sz w:val="24"/>
              </w:rPr>
              <w:instrText xml:space="preserve"> HYPERLINK "https://www.iprdb.com/s?ds=all&amp;q=ap:" </w:instrText>
            </w:r>
            <w:r>
              <w:rPr>
                <w:rFonts w:hint="eastAsia" w:hAnsi="宋体"/>
                <w:sz w:val="24"/>
              </w:rPr>
              <w:fldChar w:fldCharType="separate"/>
            </w:r>
            <w:r>
              <w:rPr>
                <w:rFonts w:hint="eastAsia" w:hAnsi="宋体"/>
                <w:sz w:val="24"/>
              </w:rPr>
              <w:t>中国二十二冶集团有限公司</w:t>
            </w:r>
            <w:r>
              <w:rPr>
                <w:rFonts w:hint="eastAsia" w:hAnsi="宋体"/>
                <w:sz w:val="24"/>
              </w:rPr>
              <w:fldChar w:fldCharType="end"/>
            </w:r>
            <w:r>
              <w:rPr>
                <w:rFonts w:hint="eastAsia" w:hAnsi="宋体"/>
                <w:sz w:val="24"/>
                <w:lang w:eastAsia="zh-CN"/>
              </w:rPr>
              <w:t>。</w:t>
            </w:r>
          </w:p>
          <w:p>
            <w:pPr>
              <w:snapToGrid w:val="0"/>
              <w:spacing w:line="360" w:lineRule="exact"/>
              <w:ind w:firstLine="480" w:firstLineChars="200"/>
              <w:rPr>
                <w:rFonts w:hint="default" w:hAnsi="宋体"/>
                <w:sz w:val="24"/>
                <w:lang w:val="en-US" w:eastAsia="zh-CN"/>
              </w:rPr>
            </w:pPr>
            <w:r>
              <w:rPr>
                <w:rFonts w:hint="eastAsia" w:hAnsi="宋体"/>
                <w:sz w:val="24"/>
                <w:lang w:val="en-US" w:eastAsia="zh-CN"/>
              </w:rPr>
              <w:t>2.</w:t>
            </w:r>
            <w:r>
              <w:rPr>
                <w:rFonts w:hint="eastAsia" w:hAnsi="宋体"/>
                <w:sz w:val="24"/>
              </w:rPr>
              <w:fldChar w:fldCharType="begin"/>
            </w:r>
            <w:r>
              <w:rPr>
                <w:rFonts w:hint="eastAsia" w:hAnsi="宋体"/>
                <w:sz w:val="24"/>
              </w:rPr>
              <w:instrText xml:space="preserve"> HYPERLINK "https://www.iprdb.com/s?ds=all&amp;q=ap:(" </w:instrText>
            </w:r>
            <w:r>
              <w:rPr>
                <w:rFonts w:hint="eastAsia" w:hAnsi="宋体"/>
                <w:sz w:val="24"/>
              </w:rPr>
              <w:fldChar w:fldCharType="separate"/>
            </w:r>
            <w:r>
              <w:rPr>
                <w:rFonts w:hint="eastAsia" w:hAnsi="宋体"/>
                <w:sz w:val="24"/>
              </w:rPr>
              <w:t>张晓峰</w:t>
            </w:r>
            <w:r>
              <w:rPr>
                <w:rFonts w:hint="eastAsia" w:hAnsi="宋体"/>
                <w:sz w:val="24"/>
              </w:rPr>
              <w:fldChar w:fldCharType="end"/>
            </w:r>
            <w:r>
              <w:rPr>
                <w:rFonts w:hint="eastAsia" w:hAnsi="宋体"/>
                <w:sz w:val="24"/>
                <w:lang w:eastAsia="zh-CN"/>
              </w:rPr>
              <w:t>。</w:t>
            </w:r>
            <w:r>
              <w:rPr>
                <w:rFonts w:hint="eastAsia" w:hAnsi="宋体"/>
                <w:sz w:val="24"/>
              </w:rPr>
              <w:t>《装配式超低能耗民用建筑技术标准》DB13(J)/T8623-2025</w:t>
            </w:r>
            <w:r>
              <w:rPr>
                <w:rFonts w:hint="eastAsia" w:hAnsi="宋体"/>
                <w:sz w:val="24"/>
                <w:lang w:eastAsia="zh-CN"/>
              </w:rPr>
              <w:t>。</w:t>
            </w:r>
          </w:p>
        </w:tc>
      </w:tr>
      <w:tr>
        <w:tblPrEx>
          <w:tblCellMar>
            <w:top w:w="0" w:type="dxa"/>
            <w:left w:w="108" w:type="dxa"/>
            <w:bottom w:w="0" w:type="dxa"/>
            <w:right w:w="108" w:type="dxa"/>
          </w:tblCellMar>
        </w:tblPrEx>
        <w:trPr>
          <w:trHeight w:val="780" w:hRule="atLeast"/>
        </w:trPr>
        <w:tc>
          <w:tcPr>
            <w:tcW w:w="5000" w:type="pct"/>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b/>
                <w:bCs/>
                <w:kern w:val="0"/>
                <w:sz w:val="22"/>
                <w:szCs w:val="22"/>
              </w:rPr>
            </w:pPr>
            <w:r>
              <w:rPr>
                <w:rFonts w:hint="eastAsia" w:hAnsi="宋体"/>
                <w:b/>
                <w:bCs/>
                <w:color w:val="C00000"/>
                <w:kern w:val="0"/>
                <w:sz w:val="24"/>
              </w:rPr>
              <w:t>主要完成人情况表（排名、姓名、技术职称、工作单位、对本项目技术创造性贡献、曾获奖励情况）</w:t>
            </w:r>
          </w:p>
        </w:tc>
      </w:tr>
      <w:tr>
        <w:tblPrEx>
          <w:tblCellMar>
            <w:top w:w="0" w:type="dxa"/>
            <w:left w:w="108" w:type="dxa"/>
            <w:bottom w:w="0" w:type="dxa"/>
            <w:right w:w="108" w:type="dxa"/>
          </w:tblCellMar>
        </w:tblPrEx>
        <w:trPr>
          <w:trHeight w:val="559" w:hRule="atLeast"/>
        </w:trPr>
        <w:tc>
          <w:tcPr>
            <w:tcW w:w="244" w:type="pct"/>
            <w:tcBorders>
              <w:top w:val="nil"/>
              <w:left w:val="single" w:color="auto" w:sz="4" w:space="0"/>
              <w:bottom w:val="single" w:color="auto" w:sz="4" w:space="0"/>
              <w:right w:val="single" w:color="auto" w:sz="4" w:space="0"/>
            </w:tcBorders>
            <w:noWrap w:val="0"/>
            <w:vAlign w:val="center"/>
          </w:tcPr>
          <w:p>
            <w:pPr>
              <w:widowControl/>
              <w:jc w:val="center"/>
              <w:rPr>
                <w:rFonts w:hint="eastAsia"/>
                <w:b/>
                <w:bCs/>
                <w:kern w:val="0"/>
                <w:sz w:val="24"/>
              </w:rPr>
            </w:pPr>
            <w:r>
              <w:rPr>
                <w:rFonts w:hint="eastAsia"/>
                <w:b/>
                <w:bCs/>
                <w:kern w:val="0"/>
                <w:sz w:val="24"/>
              </w:rPr>
              <w:t>排名</w:t>
            </w:r>
          </w:p>
        </w:tc>
        <w:tc>
          <w:tcPr>
            <w:tcW w:w="248" w:type="pct"/>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姓名</w:t>
            </w:r>
          </w:p>
        </w:tc>
        <w:tc>
          <w:tcPr>
            <w:tcW w:w="511" w:type="pct"/>
            <w:gridSpan w:val="3"/>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技术职称</w:t>
            </w:r>
          </w:p>
        </w:tc>
        <w:tc>
          <w:tcPr>
            <w:tcW w:w="799" w:type="pct"/>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工作单位</w:t>
            </w:r>
          </w:p>
        </w:tc>
        <w:tc>
          <w:tcPr>
            <w:tcW w:w="542" w:type="pct"/>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完成单位</w:t>
            </w:r>
          </w:p>
        </w:tc>
        <w:tc>
          <w:tcPr>
            <w:tcW w:w="1683" w:type="pct"/>
            <w:gridSpan w:val="2"/>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贡献</w:t>
            </w:r>
          </w:p>
        </w:tc>
        <w:tc>
          <w:tcPr>
            <w:tcW w:w="969" w:type="pct"/>
            <w:gridSpan w:val="2"/>
            <w:tcBorders>
              <w:top w:val="nil"/>
              <w:left w:val="nil"/>
              <w:bottom w:val="single" w:color="auto" w:sz="4" w:space="0"/>
              <w:right w:val="single" w:color="auto" w:sz="4" w:space="0"/>
            </w:tcBorders>
            <w:noWrap w:val="0"/>
            <w:vAlign w:val="center"/>
          </w:tcPr>
          <w:p>
            <w:pPr>
              <w:widowControl/>
              <w:jc w:val="center"/>
              <w:rPr>
                <w:b/>
                <w:bCs/>
                <w:kern w:val="0"/>
                <w:sz w:val="24"/>
              </w:rPr>
            </w:pPr>
            <w:r>
              <w:rPr>
                <w:rFonts w:hAnsi="宋体"/>
                <w:b/>
                <w:bCs/>
                <w:kern w:val="0"/>
                <w:sz w:val="24"/>
              </w:rPr>
              <w:t>曾获奖情况</w:t>
            </w:r>
          </w:p>
        </w:tc>
      </w:tr>
      <w:tr>
        <w:tblPrEx>
          <w:tblCellMar>
            <w:top w:w="0" w:type="dxa"/>
            <w:left w:w="108" w:type="dxa"/>
            <w:bottom w:w="0" w:type="dxa"/>
            <w:right w:w="108" w:type="dxa"/>
          </w:tblCellMar>
        </w:tblPrEx>
        <w:trPr>
          <w:trHeight w:val="454" w:hRule="atLeast"/>
        </w:trPr>
        <w:tc>
          <w:tcPr>
            <w:tcW w:w="244"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5</w:t>
            </w:r>
          </w:p>
        </w:tc>
        <w:tc>
          <w:tcPr>
            <w:tcW w:w="24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bCs/>
                <w:kern w:val="0"/>
                <w:sz w:val="18"/>
                <w:szCs w:val="18"/>
                <w:highlight w:val="none"/>
              </w:rPr>
            </w:pPr>
            <w:r>
              <w:rPr>
                <w:rFonts w:hint="eastAsia" w:ascii="宋体" w:hAnsi="宋体"/>
                <w:sz w:val="21"/>
                <w:szCs w:val="21"/>
                <w:highlight w:val="none"/>
              </w:rPr>
              <w:t>张晓峰</w:t>
            </w:r>
          </w:p>
        </w:tc>
        <w:tc>
          <w:tcPr>
            <w:tcW w:w="511"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正高级</w:t>
            </w:r>
          </w:p>
          <w:p>
            <w:pPr>
              <w:widowControl/>
              <w:snapToGrid w:val="0"/>
              <w:jc w:val="center"/>
              <w:rPr>
                <w:rFonts w:hint="eastAsia" w:ascii="宋体" w:hAnsi="宋体" w:eastAsia="宋体" w:cs="宋体"/>
                <w:bCs/>
                <w:kern w:val="0"/>
                <w:sz w:val="18"/>
                <w:szCs w:val="18"/>
                <w:highlight w:val="none"/>
              </w:rPr>
            </w:pPr>
            <w:r>
              <w:rPr>
                <w:rFonts w:hint="eastAsia" w:ascii="宋体" w:hAnsi="宋体" w:eastAsia="宋体" w:cs="宋体"/>
                <w:color w:val="auto"/>
                <w:szCs w:val="21"/>
                <w:highlight w:val="none"/>
              </w:rPr>
              <w:t>工程师</w:t>
            </w:r>
          </w:p>
        </w:tc>
        <w:tc>
          <w:tcPr>
            <w:tcW w:w="7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bCs/>
                <w:kern w:val="0"/>
                <w:sz w:val="18"/>
                <w:szCs w:val="18"/>
                <w:highlight w:val="none"/>
              </w:rPr>
            </w:pPr>
            <w:r>
              <w:rPr>
                <w:highlight w:val="none"/>
              </w:rPr>
              <w:fldChar w:fldCharType="begin"/>
            </w:r>
            <w:r>
              <w:rPr>
                <w:highlight w:val="none"/>
              </w:rPr>
              <w:instrText xml:space="preserve"> HYPERLINK "https://www.iprdb.com/s?ds=all&amp;q=ap:" </w:instrText>
            </w:r>
            <w:r>
              <w:rPr>
                <w:highlight w:val="none"/>
              </w:rPr>
              <w:fldChar w:fldCharType="separate"/>
            </w:r>
            <w:r>
              <w:rPr>
                <w:rFonts w:hint="eastAsia" w:ascii="宋体" w:hAnsi="宋体"/>
                <w:b w:val="0"/>
                <w:bCs w:val="0"/>
                <w:sz w:val="21"/>
                <w:szCs w:val="21"/>
                <w:highlight w:val="none"/>
              </w:rPr>
              <w:t>中国二十二冶集团有限公司</w:t>
            </w:r>
            <w:r>
              <w:rPr>
                <w:rFonts w:hint="eastAsia" w:ascii="宋体" w:hAnsi="宋体"/>
                <w:b w:val="0"/>
                <w:bCs w:val="0"/>
                <w:sz w:val="21"/>
                <w:szCs w:val="21"/>
                <w:highlight w:val="none"/>
              </w:rPr>
              <w:fldChar w:fldCharType="end"/>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bCs/>
                <w:kern w:val="0"/>
                <w:sz w:val="18"/>
                <w:szCs w:val="18"/>
                <w:highlight w:val="none"/>
              </w:rPr>
            </w:pPr>
            <w:r>
              <w:rPr>
                <w:highlight w:val="none"/>
              </w:rPr>
              <w:fldChar w:fldCharType="begin"/>
            </w:r>
            <w:r>
              <w:rPr>
                <w:highlight w:val="none"/>
              </w:rPr>
              <w:instrText xml:space="preserve"> HYPERLINK "https://www.iprdb.com/s?ds=all&amp;q=ap:" </w:instrText>
            </w:r>
            <w:r>
              <w:rPr>
                <w:highlight w:val="none"/>
              </w:rPr>
              <w:fldChar w:fldCharType="separate"/>
            </w:r>
            <w:r>
              <w:rPr>
                <w:rFonts w:hint="eastAsia" w:ascii="宋体" w:hAnsi="宋体"/>
                <w:b w:val="0"/>
                <w:bCs w:val="0"/>
                <w:sz w:val="21"/>
                <w:szCs w:val="21"/>
                <w:highlight w:val="none"/>
              </w:rPr>
              <w:t>中国二十二冶集团有限公司</w:t>
            </w:r>
            <w:r>
              <w:rPr>
                <w:rFonts w:hint="eastAsia" w:ascii="宋体" w:hAnsi="宋体"/>
                <w:b w:val="0"/>
                <w:bCs w:val="0"/>
                <w:sz w:val="21"/>
                <w:szCs w:val="21"/>
                <w:highlight w:val="none"/>
              </w:rPr>
              <w:fldChar w:fldCharType="end"/>
            </w:r>
          </w:p>
        </w:tc>
        <w:tc>
          <w:tcPr>
            <w:tcW w:w="1683"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主要负责暗藏钢梁装配式超低能耗钢结构技术及及钢结构外包混凝土防火技术，参与标准体系的建立。</w:t>
            </w:r>
          </w:p>
        </w:tc>
        <w:tc>
          <w:tcPr>
            <w:tcW w:w="969"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曾获河北省科技进步二等奖2项，中施企协科技进步一等奖1项。</w:t>
            </w:r>
          </w:p>
        </w:tc>
      </w:tr>
      <w:tr>
        <w:tblPrEx>
          <w:tblCellMar>
            <w:top w:w="0" w:type="dxa"/>
            <w:left w:w="108" w:type="dxa"/>
            <w:bottom w:w="0" w:type="dxa"/>
            <w:right w:w="108" w:type="dxa"/>
          </w:tblCellMar>
        </w:tblPrEx>
        <w:trPr>
          <w:trHeight w:val="456"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bCs/>
                <w:kern w:val="0"/>
                <w:sz w:val="24"/>
              </w:rPr>
            </w:pPr>
            <w:r>
              <w:rPr>
                <w:rFonts w:hint="eastAsia" w:hAnsi="宋体"/>
                <w:b/>
                <w:bCs/>
                <w:color w:val="C00000"/>
                <w:kern w:val="0"/>
                <w:sz w:val="24"/>
              </w:rPr>
              <w:t>完成人合作关系说明</w:t>
            </w:r>
          </w:p>
        </w:tc>
      </w:tr>
      <w:tr>
        <w:tblPrEx>
          <w:tblCellMar>
            <w:top w:w="0" w:type="dxa"/>
            <w:left w:w="108" w:type="dxa"/>
            <w:bottom w:w="0" w:type="dxa"/>
            <w:right w:w="108" w:type="dxa"/>
          </w:tblCellMar>
        </w:tblPrEx>
        <w:trPr>
          <w:trHeight w:val="686"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80" w:firstLineChars="200"/>
              <w:rPr>
                <w:rFonts w:hint="eastAsia" w:hAnsi="宋体"/>
                <w:sz w:val="24"/>
                <w:lang w:val="en-US" w:eastAsia="zh-CN"/>
              </w:rPr>
            </w:pPr>
            <w:r>
              <w:rPr>
                <w:rFonts w:hint="eastAsia" w:hAnsi="宋体"/>
                <w:sz w:val="24"/>
                <w:lang w:val="en-US" w:eastAsia="zh-CN"/>
              </w:rPr>
              <w:t>共同课题“装配式混凝土建筑灌浆套筒连接质量自动评定系统”是由河北省建筑科学研究院有限公司/1、中国二十二冶集团有限公司/4共同完成，完成人为：付素娟/1，郝雨杭/3，张晓峰/5。</w:t>
            </w:r>
          </w:p>
          <w:p>
            <w:pPr>
              <w:snapToGrid w:val="0"/>
              <w:spacing w:line="360" w:lineRule="exact"/>
              <w:ind w:firstLine="480" w:firstLineChars="200"/>
              <w:rPr>
                <w:rFonts w:hint="default"/>
                <w:lang w:val="en-US" w:eastAsia="zh-CN"/>
              </w:rPr>
            </w:pPr>
            <w:r>
              <w:rPr>
                <w:rFonts w:hint="eastAsia" w:hAnsi="宋体"/>
                <w:sz w:val="24"/>
                <w:lang w:val="en-US" w:eastAsia="zh-CN"/>
              </w:rPr>
              <w:t>河北省地方标准</w:t>
            </w:r>
            <w:r>
              <w:rPr>
                <w:rFonts w:hint="eastAsia" w:hAnsi="宋体"/>
                <w:sz w:val="24"/>
              </w:rPr>
              <w:t>《装配式超低能耗民用建筑技术标准》DB13(J)/T8623-2025</w:t>
            </w:r>
            <w:r>
              <w:rPr>
                <w:rFonts w:hint="eastAsia" w:hAnsi="宋体"/>
                <w:sz w:val="24"/>
                <w:lang w:val="en-US" w:eastAsia="zh-CN"/>
              </w:rPr>
              <w:t>是由河北省建筑科学研究院有限公司/1、中建科技集团有限公司/2、中国二十二冶集团有限公司/4、承德绿建建筑节能科技有限公司/5共同完成，完成人为：付素娟/1，郝雨杭/3，张爱民/4，张晓峰/5，朱凤起/6，董苏然/7张涛/8，马超/10。</w:t>
            </w:r>
          </w:p>
        </w:tc>
      </w:tr>
      <w:tr>
        <w:tblPrEx>
          <w:tblCellMar>
            <w:top w:w="0" w:type="dxa"/>
            <w:left w:w="108" w:type="dxa"/>
            <w:bottom w:w="0" w:type="dxa"/>
            <w:right w:w="108" w:type="dxa"/>
          </w:tblCellMar>
        </w:tblPrEx>
        <w:trPr>
          <w:trHeight w:val="456"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bCs/>
                <w:kern w:val="0"/>
                <w:sz w:val="24"/>
              </w:rPr>
            </w:pPr>
            <w:r>
              <w:rPr>
                <w:rFonts w:hint="eastAsia" w:hAnsi="宋体"/>
                <w:b/>
                <w:bCs/>
                <w:color w:val="C00000"/>
                <w:kern w:val="0"/>
                <w:sz w:val="24"/>
              </w:rPr>
              <w:t>完成人合作关系情况汇总表</w:t>
            </w:r>
          </w:p>
        </w:tc>
      </w:tr>
      <w:tr>
        <w:tblPrEx>
          <w:tblCellMar>
            <w:top w:w="0" w:type="dxa"/>
            <w:left w:w="108" w:type="dxa"/>
            <w:bottom w:w="0" w:type="dxa"/>
            <w:right w:w="108" w:type="dxa"/>
          </w:tblCellMar>
        </w:tblPrEx>
        <w:trPr>
          <w:trHeight w:val="931" w:hRule="atLeast"/>
        </w:trPr>
        <w:tc>
          <w:tcPr>
            <w:tcW w:w="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b/>
                <w:bCs/>
                <w:kern w:val="0"/>
                <w:sz w:val="24"/>
              </w:rPr>
            </w:pPr>
            <w:r>
              <w:rPr>
                <w:rFonts w:hint="eastAsia" w:hAnsi="宋体"/>
                <w:b/>
                <w:bCs/>
                <w:kern w:val="0"/>
                <w:sz w:val="24"/>
              </w:rPr>
              <w:t>序号</w:t>
            </w:r>
          </w:p>
        </w:tc>
        <w:tc>
          <w:tcPr>
            <w:tcW w:w="439" w:type="pct"/>
            <w:gridSpan w:val="3"/>
            <w:tcBorders>
              <w:top w:val="single" w:color="auto" w:sz="4" w:space="0"/>
              <w:left w:val="nil"/>
              <w:bottom w:val="single" w:color="auto" w:sz="4" w:space="0"/>
              <w:right w:val="single" w:color="auto" w:sz="4" w:space="0"/>
            </w:tcBorders>
            <w:noWrap w:val="0"/>
            <w:vAlign w:val="center"/>
          </w:tcPr>
          <w:p>
            <w:pPr>
              <w:widowControl/>
              <w:jc w:val="center"/>
              <w:rPr>
                <w:rFonts w:hAnsi="宋体"/>
                <w:b/>
                <w:bCs/>
                <w:kern w:val="0"/>
                <w:sz w:val="24"/>
              </w:rPr>
            </w:pPr>
            <w:r>
              <w:rPr>
                <w:rFonts w:hint="eastAsia" w:hAnsi="宋体"/>
                <w:b/>
                <w:bCs/>
                <w:kern w:val="0"/>
                <w:sz w:val="24"/>
              </w:rPr>
              <w:t>合作方式</w:t>
            </w:r>
          </w:p>
        </w:tc>
        <w:tc>
          <w:tcPr>
            <w:tcW w:w="1120" w:type="pct"/>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b/>
                <w:bCs/>
                <w:kern w:val="0"/>
                <w:sz w:val="24"/>
              </w:rPr>
            </w:pPr>
            <w:r>
              <w:rPr>
                <w:rFonts w:hint="eastAsia" w:hAnsi="宋体"/>
                <w:b/>
                <w:bCs/>
                <w:kern w:val="0"/>
                <w:sz w:val="24"/>
              </w:rPr>
              <w:t>合作者</w:t>
            </w:r>
            <w:r>
              <w:rPr>
                <w:rFonts w:hAnsi="宋体"/>
                <w:b/>
                <w:bCs/>
                <w:kern w:val="0"/>
                <w:sz w:val="24"/>
              </w:rPr>
              <w:t>/</w:t>
            </w:r>
            <w:r>
              <w:rPr>
                <w:rFonts w:hint="eastAsia" w:hAnsi="宋体"/>
                <w:b/>
                <w:bCs/>
                <w:kern w:val="0"/>
                <w:sz w:val="24"/>
              </w:rPr>
              <w:t>项目排名</w:t>
            </w:r>
          </w:p>
        </w:tc>
        <w:tc>
          <w:tcPr>
            <w:tcW w:w="821" w:type="pct"/>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b/>
                <w:bCs/>
                <w:kern w:val="0"/>
                <w:sz w:val="24"/>
              </w:rPr>
            </w:pPr>
            <w:r>
              <w:rPr>
                <w:rFonts w:hint="eastAsia" w:hAnsi="宋体"/>
                <w:b/>
                <w:bCs/>
                <w:kern w:val="0"/>
                <w:sz w:val="24"/>
              </w:rPr>
              <w:t>合作时间</w:t>
            </w:r>
          </w:p>
        </w:tc>
        <w:tc>
          <w:tcPr>
            <w:tcW w:w="2095" w:type="pct"/>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b/>
                <w:bCs/>
                <w:kern w:val="0"/>
                <w:sz w:val="24"/>
              </w:rPr>
            </w:pPr>
            <w:r>
              <w:rPr>
                <w:rFonts w:hint="eastAsia" w:hAnsi="宋体"/>
                <w:b/>
                <w:bCs/>
                <w:kern w:val="0"/>
                <w:sz w:val="24"/>
              </w:rPr>
              <w:t>合作成果</w:t>
            </w:r>
          </w:p>
        </w:tc>
        <w:tc>
          <w:tcPr>
            <w:tcW w:w="279" w:type="pct"/>
            <w:tcBorders>
              <w:top w:val="single" w:color="auto" w:sz="4" w:space="0"/>
              <w:left w:val="nil"/>
              <w:bottom w:val="single" w:color="auto" w:sz="4" w:space="0"/>
              <w:right w:val="single" w:color="auto" w:sz="4" w:space="0"/>
            </w:tcBorders>
            <w:noWrap w:val="0"/>
            <w:vAlign w:val="center"/>
          </w:tcPr>
          <w:p>
            <w:pPr>
              <w:widowControl/>
              <w:jc w:val="center"/>
              <w:rPr>
                <w:rFonts w:hint="eastAsia" w:hAnsi="宋体"/>
                <w:b/>
                <w:bCs/>
                <w:kern w:val="0"/>
                <w:sz w:val="24"/>
              </w:rPr>
            </w:pPr>
            <w:r>
              <w:rPr>
                <w:rFonts w:hint="eastAsia" w:hAnsi="宋体"/>
                <w:b/>
                <w:bCs/>
                <w:kern w:val="0"/>
                <w:sz w:val="24"/>
              </w:rPr>
              <w:t>备注</w:t>
            </w:r>
          </w:p>
        </w:tc>
      </w:tr>
      <w:tr>
        <w:tblPrEx>
          <w:tblCellMar>
            <w:top w:w="0" w:type="dxa"/>
            <w:left w:w="108" w:type="dxa"/>
            <w:bottom w:w="0" w:type="dxa"/>
            <w:right w:w="108" w:type="dxa"/>
          </w:tblCellMar>
        </w:tblPrEx>
        <w:trPr>
          <w:trHeight w:val="456" w:hRule="atLeast"/>
        </w:trPr>
        <w:tc>
          <w:tcPr>
            <w:tcW w:w="24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439" w:type="pct"/>
            <w:gridSpan w:val="3"/>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rPr>
              <w:t>共同课题</w:t>
            </w:r>
          </w:p>
        </w:tc>
        <w:tc>
          <w:tcPr>
            <w:tcW w:w="1120"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rPr>
              <w:t>付素娟，</w:t>
            </w:r>
            <w:r>
              <w:rPr>
                <w:rFonts w:hint="eastAsia" w:ascii="宋体" w:hAnsi="宋体" w:eastAsia="宋体" w:cs="宋体"/>
                <w:bCs/>
                <w:sz w:val="24"/>
                <w:highlight w:val="none"/>
                <w:lang w:val="en-US" w:eastAsia="zh-CN"/>
              </w:rPr>
              <w:t>张晓峰</w:t>
            </w:r>
            <w:r>
              <w:rPr>
                <w:rFonts w:hint="eastAsia" w:ascii="宋体" w:hAnsi="宋体" w:eastAsia="宋体" w:cs="宋体"/>
                <w:bCs/>
                <w:sz w:val="24"/>
                <w:highlight w:val="none"/>
              </w:rPr>
              <w:t>，郝雨杭</w:t>
            </w:r>
          </w:p>
        </w:tc>
        <w:tc>
          <w:tcPr>
            <w:tcW w:w="821"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rPr>
              <w:t>201</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-202</w:t>
            </w:r>
            <w:r>
              <w:rPr>
                <w:rFonts w:hint="eastAsia" w:ascii="宋体" w:hAnsi="宋体" w:eastAsia="宋体" w:cs="宋体"/>
                <w:bCs/>
                <w:sz w:val="24"/>
                <w:highlight w:val="none"/>
                <w:lang w:val="en-US" w:eastAsia="zh-CN"/>
              </w:rPr>
              <w:t>4</w:t>
            </w:r>
          </w:p>
        </w:tc>
        <w:tc>
          <w:tcPr>
            <w:tcW w:w="2095"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 w:val="0"/>
                <w:bCs w:val="0"/>
                <w:sz w:val="24"/>
                <w:szCs w:val="24"/>
                <w:highlight w:val="none"/>
                <w:lang w:val="en-US" w:eastAsia="zh-CN"/>
              </w:rPr>
              <w:t>装配式低能耗绿色工业化建筑关键技术研究与应用</w:t>
            </w:r>
          </w:p>
        </w:tc>
        <w:tc>
          <w:tcPr>
            <w:tcW w:w="279" w:type="pct"/>
            <w:tcBorders>
              <w:top w:val="single" w:color="auto" w:sz="4" w:space="0"/>
              <w:left w:val="nil"/>
              <w:bottom w:val="single" w:color="auto" w:sz="4" w:space="0"/>
              <w:right w:val="single" w:color="auto" w:sz="4" w:space="0"/>
            </w:tcBorders>
            <w:noWrap w:val="0"/>
            <w:vAlign w:val="center"/>
          </w:tcPr>
          <w:p>
            <w:pPr>
              <w:widowControl/>
              <w:rPr>
                <w:rFonts w:hint="eastAsia"/>
                <w:bCs/>
                <w:kern w:val="0"/>
                <w:sz w:val="24"/>
              </w:rPr>
            </w:pPr>
          </w:p>
        </w:tc>
      </w:tr>
      <w:tr>
        <w:tblPrEx>
          <w:tblCellMar>
            <w:top w:w="0" w:type="dxa"/>
            <w:left w:w="108" w:type="dxa"/>
            <w:bottom w:w="0" w:type="dxa"/>
            <w:right w:w="108" w:type="dxa"/>
          </w:tblCellMar>
        </w:tblPrEx>
        <w:trPr>
          <w:trHeight w:val="456" w:hRule="atLeast"/>
        </w:trPr>
        <w:tc>
          <w:tcPr>
            <w:tcW w:w="24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439" w:type="pct"/>
            <w:gridSpan w:val="3"/>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rPr>
              <w:t>共同标准</w:t>
            </w:r>
          </w:p>
        </w:tc>
        <w:tc>
          <w:tcPr>
            <w:tcW w:w="1120"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lang w:val="en-US" w:eastAsia="zh-CN"/>
              </w:rPr>
              <w:t>付素娟，张爱民，张晓峰，朱凤起，郝雨杭，马超，董苏然，张涛</w:t>
            </w:r>
          </w:p>
        </w:tc>
        <w:tc>
          <w:tcPr>
            <w:tcW w:w="821"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lang w:val="en-US" w:eastAsia="zh-CN"/>
              </w:rPr>
              <w:t>2022-2025</w:t>
            </w:r>
          </w:p>
        </w:tc>
        <w:tc>
          <w:tcPr>
            <w:tcW w:w="2095" w:type="pct"/>
            <w:gridSpan w:val="2"/>
            <w:tcBorders>
              <w:top w:val="single" w:color="auto" w:sz="4" w:space="0"/>
              <w:left w:val="nil"/>
              <w:bottom w:val="single" w:color="auto" w:sz="4" w:space="0"/>
              <w:right w:val="single" w:color="auto" w:sz="4" w:space="0"/>
            </w:tcBorders>
            <w:noWrap w:val="0"/>
            <w:vAlign w:val="center"/>
          </w:tcPr>
          <w:p>
            <w:pPr>
              <w:spacing w:before="300" w:beforeLines="50" w:after="300" w:afterLines="50" w:line="300" w:lineRule="exact"/>
              <w:jc w:val="center"/>
              <w:rPr>
                <w:rFonts w:hint="eastAsia" w:ascii="宋体" w:hAnsi="宋体" w:eastAsia="宋体" w:cs="宋体"/>
                <w:sz w:val="24"/>
                <w:lang w:val="en-US"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rPr>
              <w:t>装配式超低能耗民用建筑技术标准</w:t>
            </w:r>
            <w:r>
              <w:rPr>
                <w:rFonts w:hint="eastAsia" w:ascii="宋体" w:hAnsi="宋体" w:eastAsia="宋体" w:cs="宋体"/>
                <w:bCs/>
                <w:sz w:val="24"/>
                <w:highlight w:val="none"/>
                <w:lang w:eastAsia="zh-CN"/>
              </w:rPr>
              <w:t>》DB13(J)/T8623-2025</w:t>
            </w:r>
          </w:p>
        </w:tc>
        <w:tc>
          <w:tcPr>
            <w:tcW w:w="279" w:type="pct"/>
            <w:tcBorders>
              <w:top w:val="single" w:color="auto" w:sz="4" w:space="0"/>
              <w:left w:val="nil"/>
              <w:bottom w:val="single" w:color="auto" w:sz="4" w:space="0"/>
              <w:right w:val="single" w:color="auto" w:sz="4" w:space="0"/>
            </w:tcBorders>
            <w:noWrap w:val="0"/>
            <w:vAlign w:val="center"/>
          </w:tcPr>
          <w:p>
            <w:pPr>
              <w:widowControl/>
              <w:rPr>
                <w:rFonts w:hint="eastAsia"/>
                <w:bCs/>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52C5"/>
    <w:rsid w:val="055E1881"/>
    <w:rsid w:val="05657A1D"/>
    <w:rsid w:val="08B20948"/>
    <w:rsid w:val="0C700285"/>
    <w:rsid w:val="116218EC"/>
    <w:rsid w:val="129C63D1"/>
    <w:rsid w:val="1325766D"/>
    <w:rsid w:val="13D0428B"/>
    <w:rsid w:val="167B3866"/>
    <w:rsid w:val="1BEA06BE"/>
    <w:rsid w:val="1EB82E1E"/>
    <w:rsid w:val="20BB7B75"/>
    <w:rsid w:val="20D33C6F"/>
    <w:rsid w:val="20F6665D"/>
    <w:rsid w:val="236F4C31"/>
    <w:rsid w:val="256E58B8"/>
    <w:rsid w:val="264659B5"/>
    <w:rsid w:val="286E45BB"/>
    <w:rsid w:val="2A3D69A9"/>
    <w:rsid w:val="2BE651BF"/>
    <w:rsid w:val="32131303"/>
    <w:rsid w:val="3529007F"/>
    <w:rsid w:val="35911C99"/>
    <w:rsid w:val="38221760"/>
    <w:rsid w:val="3FB63C5B"/>
    <w:rsid w:val="404F5333"/>
    <w:rsid w:val="42FF132E"/>
    <w:rsid w:val="453D48F7"/>
    <w:rsid w:val="468F70E8"/>
    <w:rsid w:val="48377B18"/>
    <w:rsid w:val="4A06284B"/>
    <w:rsid w:val="4BCD6C2E"/>
    <w:rsid w:val="4C5800FF"/>
    <w:rsid w:val="5177452E"/>
    <w:rsid w:val="52722E55"/>
    <w:rsid w:val="52F069BF"/>
    <w:rsid w:val="582F6FC9"/>
    <w:rsid w:val="588A2E5C"/>
    <w:rsid w:val="58B2589A"/>
    <w:rsid w:val="5C005312"/>
    <w:rsid w:val="5EEB267A"/>
    <w:rsid w:val="63A25345"/>
    <w:rsid w:val="64964628"/>
    <w:rsid w:val="6615401C"/>
    <w:rsid w:val="687C679C"/>
    <w:rsid w:val="69F4527A"/>
    <w:rsid w:val="69F726CE"/>
    <w:rsid w:val="6D8B64DD"/>
    <w:rsid w:val="6EEF76BF"/>
    <w:rsid w:val="701E398B"/>
    <w:rsid w:val="70767CDA"/>
    <w:rsid w:val="72BA4E8F"/>
    <w:rsid w:val="7305751E"/>
    <w:rsid w:val="73E0657E"/>
    <w:rsid w:val="7ABF34C0"/>
    <w:rsid w:val="7F4D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6">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1724</Words>
  <Characters>1833</Characters>
  <Lines>0</Lines>
  <Paragraphs>0</Paragraphs>
  <TotalTime>0</TotalTime>
  <ScaleCrop>false</ScaleCrop>
  <LinksUpToDate>false</LinksUpToDate>
  <CharactersWithSpaces>1833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2021-06-02T11:19:00Z</dcterms:created>
  <dc:creator>联想</dc:creator>
  <cp:lastModifiedBy>姚彬</cp:lastModifiedBy>
  <dcterms:modified xsi:type="dcterms:W3CDTF">2025-08-25T06:39:36Z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A13BF7A7D1DC433AB751F413E2797636</vt:lpwstr>
  </property>
  <property fmtid="{D5CDD505-2E9C-101B-9397-08002B2CF9AE}" pid="4" name="KSOTemplateDocerSaveRecord">
    <vt:lpwstr>eyJoZGlkIjoiNWIzMWQ2NzU4YWFkYzdkZGZmNjdlMTRhYWZkZDMyYWQiLCJ1c2VySWQiOiIxNjU3NzI1ODQ1In0=</vt:lpwstr>
  </property>
</Properties>
</file>